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647"/>
      </w:tblGrid>
      <w:tr w:rsidR="001201EF" w:rsidRPr="00D3283C" w14:paraId="5680F7F5" w14:textId="77777777" w:rsidTr="009E138F">
        <w:tc>
          <w:tcPr>
            <w:tcW w:w="1696" w:type="dxa"/>
          </w:tcPr>
          <w:p w14:paraId="5742B852" w14:textId="77777777" w:rsidR="001201EF" w:rsidRPr="00D3283C" w:rsidRDefault="001201EF" w:rsidP="009E138F">
            <w:pPr>
              <w:rPr>
                <w:rFonts w:asciiTheme="minorHAnsi" w:hAnsiTheme="minorHAnsi" w:cstheme="minorHAnsi"/>
                <w:sz w:val="22"/>
                <w:szCs w:val="22"/>
              </w:rPr>
            </w:pPr>
            <w:r w:rsidRPr="00D3283C">
              <w:rPr>
                <w:rFonts w:asciiTheme="minorHAnsi" w:hAnsiTheme="minorHAnsi" w:cstheme="minorHAnsi"/>
                <w:sz w:val="22"/>
                <w:szCs w:val="22"/>
              </w:rPr>
              <w:t xml:space="preserve">Progettazione di misure organizzative di prevenzione della corruzione – misure di controllo generali </w:t>
            </w:r>
          </w:p>
        </w:tc>
        <w:tc>
          <w:tcPr>
            <w:tcW w:w="8647" w:type="dxa"/>
          </w:tcPr>
          <w:p w14:paraId="35A5FC3A" w14:textId="77777777" w:rsidR="001201EF" w:rsidRPr="00D3283C" w:rsidRDefault="001201EF" w:rsidP="009E138F">
            <w:pPr>
              <w:rPr>
                <w:rFonts w:asciiTheme="minorHAnsi" w:hAnsiTheme="minorHAnsi" w:cstheme="minorHAnsi"/>
                <w:b/>
                <w:bCs/>
                <w:sz w:val="22"/>
                <w:szCs w:val="22"/>
              </w:rPr>
            </w:pPr>
            <w:r w:rsidRPr="00D3283C">
              <w:rPr>
                <w:rFonts w:asciiTheme="minorHAnsi" w:hAnsiTheme="minorHAnsi" w:cstheme="minorHAnsi"/>
                <w:b/>
                <w:bCs/>
                <w:sz w:val="22"/>
                <w:szCs w:val="22"/>
              </w:rPr>
              <w:t>Introduzione patti di integrità.</w:t>
            </w:r>
          </w:p>
          <w:p w14:paraId="3BCA2020" w14:textId="77777777" w:rsidR="001201EF" w:rsidRPr="00D3283C" w:rsidRDefault="001201EF" w:rsidP="009E138F">
            <w:pPr>
              <w:jc w:val="both"/>
              <w:rPr>
                <w:rFonts w:asciiTheme="minorHAnsi" w:hAnsiTheme="minorHAnsi" w:cstheme="minorHAnsi"/>
                <w:sz w:val="22"/>
                <w:szCs w:val="22"/>
              </w:rPr>
            </w:pPr>
            <w:r w:rsidRPr="00D3283C">
              <w:rPr>
                <w:rFonts w:asciiTheme="minorHAnsi" w:hAnsiTheme="minorHAnsi" w:cstheme="minorHAnsi"/>
                <w:sz w:val="22"/>
                <w:szCs w:val="22"/>
              </w:rPr>
              <w:t>L'Amministrazione, nell’ambito di protocolli di legalità o patti di legalità, promuove la elaborazione di un Codice etico interno, adottando il metodo della condivi</w:t>
            </w:r>
            <w:r w:rsidRPr="00D3283C">
              <w:rPr>
                <w:rFonts w:asciiTheme="minorHAnsi" w:hAnsiTheme="minorHAnsi" w:cstheme="minorHAnsi"/>
                <w:sz w:val="22"/>
                <w:szCs w:val="22"/>
              </w:rPr>
              <w:softHyphen/>
              <w:t>sione e della partecipazione, in modo da assicurare la traspa</w:t>
            </w:r>
            <w:r w:rsidRPr="00D3283C">
              <w:rPr>
                <w:rFonts w:asciiTheme="minorHAnsi" w:hAnsiTheme="minorHAnsi" w:cstheme="minorHAnsi"/>
                <w:sz w:val="22"/>
                <w:szCs w:val="22"/>
              </w:rPr>
              <w:softHyphen/>
              <w:t>renza nelle procedure di fornitura e di appalto, la rotazione della composizione delle commissioni di gara, l'introduzione di meccanismi di corresponsabilizzazione nella emanazione degli atti monocratici, al fine di consentirne una verifica con</w:t>
            </w:r>
            <w:r w:rsidRPr="00D3283C">
              <w:rPr>
                <w:rFonts w:asciiTheme="minorHAnsi" w:hAnsiTheme="minorHAnsi" w:cstheme="minorHAnsi"/>
                <w:sz w:val="22"/>
                <w:szCs w:val="22"/>
              </w:rPr>
              <w:softHyphen/>
              <w:t>comitante fino dalla fase nascente del provvedimento ammi</w:t>
            </w:r>
            <w:r w:rsidRPr="00D3283C">
              <w:rPr>
                <w:rFonts w:asciiTheme="minorHAnsi" w:hAnsiTheme="minorHAnsi" w:cstheme="minorHAnsi"/>
                <w:sz w:val="22"/>
                <w:szCs w:val="22"/>
              </w:rPr>
              <w:softHyphen/>
              <w:t>nistrativo. Nel Codice etico sono in particolare previste mo</w:t>
            </w:r>
            <w:r w:rsidRPr="00D3283C">
              <w:rPr>
                <w:rFonts w:asciiTheme="minorHAnsi" w:hAnsiTheme="minorHAnsi" w:cstheme="minorHAnsi"/>
                <w:sz w:val="22"/>
                <w:szCs w:val="22"/>
              </w:rPr>
              <w:softHyphen/>
              <w:t>dalità che favoriscano la massima trasparenza nei rapporti con i fornitori e idonee procedure volte a rendere possibile un'informazione costante e tempestiva sull'esito delle aggiu</w:t>
            </w:r>
            <w:r w:rsidRPr="00D3283C">
              <w:rPr>
                <w:rFonts w:asciiTheme="minorHAnsi" w:hAnsiTheme="minorHAnsi" w:cstheme="minorHAnsi"/>
                <w:sz w:val="22"/>
                <w:szCs w:val="22"/>
              </w:rPr>
              <w:softHyphen/>
              <w:t>dicazioni.</w:t>
            </w:r>
          </w:p>
          <w:p w14:paraId="543F4A69" w14:textId="77777777" w:rsidR="001201EF" w:rsidRPr="00D3283C" w:rsidRDefault="001201EF" w:rsidP="009E138F">
            <w:pPr>
              <w:jc w:val="both"/>
              <w:rPr>
                <w:rFonts w:asciiTheme="minorHAnsi" w:hAnsiTheme="minorHAnsi" w:cstheme="minorHAnsi"/>
                <w:sz w:val="22"/>
                <w:szCs w:val="22"/>
              </w:rPr>
            </w:pPr>
            <w:r w:rsidRPr="00D3283C">
              <w:rPr>
                <w:rFonts w:asciiTheme="minorHAnsi" w:hAnsiTheme="minorHAnsi" w:cstheme="minorHAnsi"/>
                <w:sz w:val="22"/>
                <w:szCs w:val="22"/>
              </w:rPr>
              <w:t>Archiviazione informatica e comunicazione.</w:t>
            </w:r>
          </w:p>
          <w:p w14:paraId="1B166F5F" w14:textId="77777777" w:rsidR="001201EF" w:rsidRPr="00D3283C" w:rsidRDefault="001201EF" w:rsidP="009E138F">
            <w:pPr>
              <w:jc w:val="both"/>
              <w:rPr>
                <w:rFonts w:asciiTheme="minorHAnsi" w:hAnsiTheme="minorHAnsi" w:cstheme="minorHAnsi"/>
                <w:sz w:val="22"/>
                <w:szCs w:val="22"/>
              </w:rPr>
            </w:pPr>
            <w:r w:rsidRPr="00D3283C">
              <w:rPr>
                <w:rFonts w:asciiTheme="minorHAnsi" w:hAnsiTheme="minorHAnsi" w:cstheme="minorHAnsi"/>
                <w:sz w:val="22"/>
                <w:szCs w:val="22"/>
              </w:rPr>
              <w:t>Gli atti ed i documenti relativi alle attività ed ai procedimenti devono essere archiviati in modalità informatica mediante scannerizzazione.</w:t>
            </w:r>
          </w:p>
          <w:p w14:paraId="46BB3F17" w14:textId="77777777" w:rsidR="001201EF" w:rsidRPr="00D3283C" w:rsidRDefault="001201EF" w:rsidP="009E138F">
            <w:pPr>
              <w:jc w:val="both"/>
              <w:rPr>
                <w:rFonts w:asciiTheme="minorHAnsi" w:hAnsiTheme="minorHAnsi" w:cstheme="minorHAnsi"/>
                <w:sz w:val="22"/>
                <w:szCs w:val="22"/>
              </w:rPr>
            </w:pPr>
            <w:r w:rsidRPr="00D3283C">
              <w:rPr>
                <w:rFonts w:asciiTheme="minorHAnsi" w:hAnsiTheme="minorHAnsi" w:cstheme="minorHAnsi"/>
                <w:sz w:val="22"/>
                <w:szCs w:val="22"/>
              </w:rPr>
              <w:t xml:space="preserve">Ogni comunicazione interna inerente tali attività e procedimenti, inoltre, deve avvenire esclusivamente mediante posta elettronica certificata. L’azione si inserisce nella piena realizzazione dell’Agenda Digitale italiana, che costituiscono un obiettivo strategico per l’intero Paese, per raggiungere il quale, si ritiene essenziale il contributo di tutte le Amministrazioni Pubbliche. </w:t>
            </w:r>
          </w:p>
          <w:p w14:paraId="18703C4F" w14:textId="77777777" w:rsidR="001201EF" w:rsidRPr="00D3283C" w:rsidRDefault="001201EF" w:rsidP="009E138F">
            <w:pPr>
              <w:jc w:val="both"/>
              <w:rPr>
                <w:rFonts w:asciiTheme="minorHAnsi" w:hAnsiTheme="minorHAnsi" w:cstheme="minorHAnsi"/>
                <w:sz w:val="22"/>
                <w:szCs w:val="22"/>
              </w:rPr>
            </w:pPr>
            <w:r w:rsidRPr="00D3283C">
              <w:rPr>
                <w:rFonts w:asciiTheme="minorHAnsi" w:hAnsiTheme="minorHAnsi" w:cstheme="minorHAnsi"/>
                <w:sz w:val="22"/>
                <w:szCs w:val="22"/>
              </w:rPr>
              <w:t>Pertanto, il fine ultimo dell’attuazione della trasformazione digitale è quello di migliorare la qualità e la quantità dei servizi resi al cittadino, con maggiore efficienza a fronte di risparmi di spesa.</w:t>
            </w:r>
          </w:p>
          <w:p w14:paraId="24C66C35" w14:textId="77777777" w:rsidR="001201EF" w:rsidRPr="00D3283C" w:rsidRDefault="001201EF" w:rsidP="009E138F">
            <w:pPr>
              <w:jc w:val="both"/>
              <w:rPr>
                <w:rFonts w:asciiTheme="minorHAnsi" w:hAnsiTheme="minorHAnsi" w:cstheme="minorHAnsi"/>
                <w:sz w:val="22"/>
                <w:szCs w:val="22"/>
              </w:rPr>
            </w:pPr>
          </w:p>
          <w:p w14:paraId="6B31E7FF"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IL CODICE ETICO</w:t>
            </w:r>
          </w:p>
          <w:p w14:paraId="749E0B0F"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b/>
                <w:bCs/>
              </w:rPr>
              <w:t xml:space="preserve">PARTE PRIMA </w:t>
            </w:r>
          </w:p>
          <w:p w14:paraId="6E1B2E2A"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1 – Disposizioni generali relative alla parte I</w:t>
            </w:r>
          </w:p>
          <w:p w14:paraId="23C6FADE" w14:textId="77777777" w:rsidR="001201EF" w:rsidRPr="00D3283C" w:rsidRDefault="001201EF" w:rsidP="001201EF">
            <w:pPr>
              <w:pStyle w:val="Paragrafoelenco"/>
              <w:numPr>
                <w:ilvl w:val="0"/>
                <w:numId w:val="1"/>
              </w:numPr>
              <w:contextualSpacing w:val="0"/>
              <w:jc w:val="both"/>
              <w:rPr>
                <w:rFonts w:asciiTheme="minorHAnsi" w:hAnsiTheme="minorHAnsi" w:cstheme="minorHAnsi"/>
              </w:rPr>
            </w:pPr>
            <w:r w:rsidRPr="00D3283C">
              <w:rPr>
                <w:rFonts w:asciiTheme="minorHAnsi" w:hAnsiTheme="minorHAnsi" w:cstheme="minorHAnsi"/>
              </w:rPr>
              <w:t>Chi intenda concorrere alle gare d’appalto o alle negoziazioni per contratti di lavori, forniture e servizi del Comune deve attenersi alle regole di comportamento del presente codice etico.</w:t>
            </w:r>
          </w:p>
          <w:p w14:paraId="2392E8FF" w14:textId="77777777" w:rsidR="001201EF" w:rsidRPr="00D3283C" w:rsidRDefault="001201EF" w:rsidP="001201EF">
            <w:pPr>
              <w:pStyle w:val="Paragrafoelenco"/>
              <w:numPr>
                <w:ilvl w:val="0"/>
                <w:numId w:val="1"/>
              </w:numPr>
              <w:contextualSpacing w:val="0"/>
              <w:jc w:val="both"/>
              <w:rPr>
                <w:rFonts w:asciiTheme="minorHAnsi" w:hAnsiTheme="minorHAnsi" w:cstheme="minorHAnsi"/>
              </w:rPr>
            </w:pPr>
            <w:r w:rsidRPr="00D3283C">
              <w:rPr>
                <w:rFonts w:asciiTheme="minorHAnsi" w:hAnsiTheme="minorHAnsi" w:cstheme="minorHAnsi"/>
              </w:rPr>
              <w:t>Le stesse regole di comportamento e prescrizioni valgono per gli appaltatori, subappaltatori e per chiunque intenda subentrare, anche in parte, nei contratti di lavori, forniture e servizi del Comune.</w:t>
            </w:r>
          </w:p>
          <w:p w14:paraId="56014A03" w14:textId="77777777" w:rsidR="001201EF" w:rsidRPr="00D3283C" w:rsidRDefault="001201EF" w:rsidP="001201EF">
            <w:pPr>
              <w:pStyle w:val="Paragrafoelenco"/>
              <w:numPr>
                <w:ilvl w:val="0"/>
                <w:numId w:val="1"/>
              </w:numPr>
              <w:contextualSpacing w:val="0"/>
              <w:jc w:val="both"/>
              <w:rPr>
                <w:rFonts w:asciiTheme="minorHAnsi" w:hAnsiTheme="minorHAnsi" w:cstheme="minorHAnsi"/>
              </w:rPr>
            </w:pPr>
            <w:r w:rsidRPr="00D3283C">
              <w:rPr>
                <w:rFonts w:asciiTheme="minorHAnsi" w:hAnsiTheme="minorHAnsi" w:cstheme="minorHAnsi"/>
              </w:rPr>
              <w:t>Il presente codice etico costituisce parte integrante delle offerte presentate al Comune per le gare d’appalto o negoziazioni di cui sopra.</w:t>
            </w:r>
          </w:p>
          <w:p w14:paraId="0A814AF5" w14:textId="77777777" w:rsidR="001201EF" w:rsidRPr="00D3283C" w:rsidRDefault="001201EF" w:rsidP="009E138F">
            <w:pPr>
              <w:jc w:val="both"/>
              <w:rPr>
                <w:rFonts w:asciiTheme="minorHAnsi" w:hAnsiTheme="minorHAnsi" w:cstheme="minorHAnsi"/>
                <w:b/>
                <w:bCs/>
              </w:rPr>
            </w:pPr>
          </w:p>
          <w:p w14:paraId="1D2541C4"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2 – Dovere di correttezza</w:t>
            </w:r>
          </w:p>
          <w:p w14:paraId="3958CEDA" w14:textId="77777777" w:rsidR="001201EF" w:rsidRPr="00D3283C" w:rsidRDefault="001201EF" w:rsidP="001201EF">
            <w:pPr>
              <w:pStyle w:val="Paragrafoelenco"/>
              <w:numPr>
                <w:ilvl w:val="0"/>
                <w:numId w:val="2"/>
              </w:numPr>
              <w:contextualSpacing w:val="0"/>
              <w:jc w:val="both"/>
              <w:rPr>
                <w:rFonts w:asciiTheme="minorHAnsi" w:hAnsiTheme="minorHAnsi" w:cstheme="minorHAnsi"/>
              </w:rPr>
            </w:pPr>
            <w:r w:rsidRPr="00D3283C">
              <w:rPr>
                <w:rFonts w:asciiTheme="minorHAnsi" w:hAnsiTheme="minorHAnsi" w:cstheme="minorHAnsi"/>
              </w:rPr>
              <w:t>I soggetti indicati all’art. 1 devono agire nel rispetto dei principi di buona fede nei confronti del Comune e di correttezza professionale e lealtà nei confronti degli altri soggetti concorrenti durante la gara d’appalto e nel corso delle trattative contrattuali.</w:t>
            </w:r>
          </w:p>
          <w:p w14:paraId="1F044216" w14:textId="77777777" w:rsidR="001201EF" w:rsidRPr="00D3283C" w:rsidRDefault="001201EF" w:rsidP="009E138F">
            <w:pPr>
              <w:jc w:val="both"/>
              <w:rPr>
                <w:rFonts w:asciiTheme="minorHAnsi" w:hAnsiTheme="minorHAnsi" w:cstheme="minorHAnsi"/>
              </w:rPr>
            </w:pPr>
          </w:p>
          <w:p w14:paraId="01680503"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3 – Concorrenza</w:t>
            </w:r>
          </w:p>
          <w:p w14:paraId="0E94EE5A" w14:textId="77777777" w:rsidR="001201EF" w:rsidRPr="00D3283C" w:rsidRDefault="001201EF" w:rsidP="001201EF">
            <w:pPr>
              <w:pStyle w:val="Paragrafoelenco"/>
              <w:numPr>
                <w:ilvl w:val="0"/>
                <w:numId w:val="3"/>
              </w:numPr>
              <w:contextualSpacing w:val="0"/>
              <w:jc w:val="both"/>
              <w:rPr>
                <w:rFonts w:asciiTheme="minorHAnsi" w:hAnsiTheme="minorHAnsi" w:cstheme="minorHAnsi"/>
              </w:rPr>
            </w:pPr>
            <w:r w:rsidRPr="00D3283C">
              <w:rPr>
                <w:rFonts w:asciiTheme="minorHAnsi" w:hAnsiTheme="minorHAnsi" w:cstheme="minorHAnsi"/>
              </w:rPr>
              <w:t>In particolare, i soggetti indicati all’art. 1 devono astenersi da comportamenti anticoncorrenziali e rispettare le “Norme per la tutela della concorrenza e del mercato” contenute nella legge 287/1990.</w:t>
            </w:r>
          </w:p>
          <w:p w14:paraId="0288B743" w14:textId="77777777" w:rsidR="001201EF" w:rsidRPr="00D3283C" w:rsidRDefault="001201EF" w:rsidP="001201EF">
            <w:pPr>
              <w:pStyle w:val="Paragrafoelenco"/>
              <w:numPr>
                <w:ilvl w:val="0"/>
                <w:numId w:val="3"/>
              </w:numPr>
              <w:contextualSpacing w:val="0"/>
              <w:jc w:val="both"/>
              <w:rPr>
                <w:rFonts w:asciiTheme="minorHAnsi" w:hAnsiTheme="minorHAnsi" w:cstheme="minorHAnsi"/>
              </w:rPr>
            </w:pPr>
            <w:r w:rsidRPr="00D3283C">
              <w:rPr>
                <w:rFonts w:asciiTheme="minorHAnsi" w:hAnsiTheme="minorHAnsi" w:cstheme="minorHAnsi"/>
              </w:rPr>
              <w:t>Si intendono per comportamenti anticoncorrenziali, salvo altri:</w:t>
            </w:r>
          </w:p>
          <w:p w14:paraId="51EB25AC" w14:textId="77777777" w:rsidR="001201EF" w:rsidRPr="00D3283C" w:rsidRDefault="001201EF" w:rsidP="001201EF">
            <w:pPr>
              <w:pStyle w:val="Paragrafoelenco"/>
              <w:numPr>
                <w:ilvl w:val="0"/>
                <w:numId w:val="4"/>
              </w:numPr>
              <w:contextualSpacing w:val="0"/>
              <w:jc w:val="both"/>
              <w:rPr>
                <w:rFonts w:asciiTheme="minorHAnsi" w:hAnsiTheme="minorHAnsi" w:cstheme="minorHAnsi"/>
              </w:rPr>
            </w:pPr>
            <w:r w:rsidRPr="00D3283C">
              <w:rPr>
                <w:rFonts w:asciiTheme="minorHAnsi" w:hAnsiTheme="minorHAnsi" w:cstheme="minorHAnsi"/>
              </w:rPr>
              <w:t>qualunque promessa, offerta, concessione diretta o indiretta a possibili concorrenti per loro stessi o per un terzo di un vantaggio in cambio dell’aggiudicazione della gara, ovvero affinché non concorrano o ritirino la loro offerta o presentino offerte evidentemente abnormi;</w:t>
            </w:r>
          </w:p>
          <w:p w14:paraId="45110CA5" w14:textId="77777777" w:rsidR="001201EF" w:rsidRPr="00D3283C" w:rsidRDefault="001201EF" w:rsidP="001201EF">
            <w:pPr>
              <w:pStyle w:val="Paragrafoelenco"/>
              <w:numPr>
                <w:ilvl w:val="0"/>
                <w:numId w:val="4"/>
              </w:numPr>
              <w:contextualSpacing w:val="0"/>
              <w:jc w:val="both"/>
              <w:rPr>
                <w:rFonts w:asciiTheme="minorHAnsi" w:hAnsiTheme="minorHAnsi" w:cstheme="minorHAnsi"/>
              </w:rPr>
            </w:pPr>
            <w:r w:rsidRPr="00D3283C">
              <w:rPr>
                <w:rFonts w:asciiTheme="minorHAnsi" w:hAnsiTheme="minorHAnsi" w:cstheme="minorHAnsi"/>
              </w:rPr>
              <w:lastRenderedPageBreak/>
              <w:t>qualunque accordo concertato tra soggetti concorrenti per condizionare il prezzo di aggiudicazione dell’appalto o di stipulazione del contratto;</w:t>
            </w:r>
          </w:p>
          <w:p w14:paraId="3A1EDDE0" w14:textId="77777777" w:rsidR="001201EF" w:rsidRPr="00D3283C" w:rsidRDefault="001201EF" w:rsidP="001201EF">
            <w:pPr>
              <w:pStyle w:val="Paragrafoelenco"/>
              <w:numPr>
                <w:ilvl w:val="0"/>
                <w:numId w:val="4"/>
              </w:numPr>
              <w:contextualSpacing w:val="0"/>
              <w:jc w:val="both"/>
              <w:rPr>
                <w:rFonts w:asciiTheme="minorHAnsi" w:hAnsiTheme="minorHAnsi" w:cstheme="minorHAnsi"/>
              </w:rPr>
            </w:pPr>
            <w:r w:rsidRPr="00D3283C">
              <w:rPr>
                <w:rFonts w:asciiTheme="minorHAnsi" w:hAnsiTheme="minorHAnsi" w:cstheme="minorHAnsi"/>
              </w:rPr>
              <w:t>qualunque accordo sulle altre condizioni dell’offerta diretto a condizionare l’aggiudicazione o l’esito della trattativa contrattuale.</w:t>
            </w:r>
          </w:p>
          <w:p w14:paraId="4D329C3D" w14:textId="77777777" w:rsidR="001201EF" w:rsidRPr="00D3283C" w:rsidRDefault="001201EF" w:rsidP="009E138F">
            <w:pPr>
              <w:jc w:val="both"/>
              <w:rPr>
                <w:rFonts w:asciiTheme="minorHAnsi" w:hAnsiTheme="minorHAnsi" w:cstheme="minorHAnsi"/>
              </w:rPr>
            </w:pPr>
          </w:p>
          <w:p w14:paraId="29A09D0A"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4 – Collegamenti</w:t>
            </w:r>
          </w:p>
          <w:p w14:paraId="11B54A0C" w14:textId="77777777" w:rsidR="001201EF" w:rsidRPr="00D3283C" w:rsidRDefault="001201EF" w:rsidP="001201EF">
            <w:pPr>
              <w:pStyle w:val="Paragrafoelenco"/>
              <w:numPr>
                <w:ilvl w:val="0"/>
                <w:numId w:val="5"/>
              </w:numPr>
              <w:contextualSpacing w:val="0"/>
              <w:jc w:val="both"/>
              <w:rPr>
                <w:rFonts w:asciiTheme="minorHAnsi" w:hAnsiTheme="minorHAnsi" w:cstheme="minorHAnsi"/>
              </w:rPr>
            </w:pPr>
            <w:r w:rsidRPr="00D3283C">
              <w:rPr>
                <w:rFonts w:asciiTheme="minorHAnsi" w:hAnsiTheme="minorHAnsi" w:cstheme="minorHAnsi"/>
              </w:rPr>
              <w:t>I soggetti concorrenti non devono avvalersi dell’esistenza di forme di controllo o di collegamento con altri soggetti concorrenti di cui all’art. 2359 c.c. né devono avvalersi dell’esistenza di altre forme di collegamento sostanziale che possano comunque influenzare l’esito della gara.</w:t>
            </w:r>
          </w:p>
          <w:p w14:paraId="72E677C9" w14:textId="77777777" w:rsidR="001201EF" w:rsidRPr="00D3283C" w:rsidRDefault="001201EF" w:rsidP="009E138F">
            <w:pPr>
              <w:jc w:val="both"/>
              <w:rPr>
                <w:rFonts w:asciiTheme="minorHAnsi" w:hAnsiTheme="minorHAnsi" w:cstheme="minorHAnsi"/>
                <w:b/>
                <w:bCs/>
              </w:rPr>
            </w:pPr>
          </w:p>
          <w:p w14:paraId="0E8E5A86"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5 – Rapporti con gli uffici comunali</w:t>
            </w:r>
          </w:p>
          <w:p w14:paraId="06338DF1" w14:textId="77777777" w:rsidR="001201EF" w:rsidRPr="00D3283C" w:rsidRDefault="001201EF" w:rsidP="001201EF">
            <w:pPr>
              <w:pStyle w:val="Paragrafoelenco"/>
              <w:numPr>
                <w:ilvl w:val="0"/>
                <w:numId w:val="6"/>
              </w:numPr>
              <w:contextualSpacing w:val="0"/>
              <w:jc w:val="both"/>
              <w:rPr>
                <w:rFonts w:asciiTheme="minorHAnsi" w:hAnsiTheme="minorHAnsi" w:cstheme="minorHAnsi"/>
              </w:rPr>
            </w:pPr>
            <w:r w:rsidRPr="00D3283C">
              <w:rPr>
                <w:rFonts w:asciiTheme="minorHAnsi" w:hAnsiTheme="minorHAnsi" w:cstheme="minorHAnsi"/>
              </w:rPr>
              <w:t>I soggetti indicati nell’art. 1 devono astenersi da qualunque offerta di utilità, denaro, beni di valore o condizioni di vantaggio anche indiretto ai dipendenti comunali che gestiscono o promuovono appalti o trattative finalizzate alla stipulazione di contratti di lavori, forniture o servizi.</w:t>
            </w:r>
          </w:p>
          <w:p w14:paraId="02D90011" w14:textId="77777777" w:rsidR="001201EF" w:rsidRPr="00D3283C" w:rsidRDefault="001201EF" w:rsidP="009E138F">
            <w:pPr>
              <w:jc w:val="both"/>
              <w:rPr>
                <w:rFonts w:asciiTheme="minorHAnsi" w:hAnsiTheme="minorHAnsi" w:cstheme="minorHAnsi"/>
                <w:b/>
                <w:bCs/>
              </w:rPr>
            </w:pPr>
          </w:p>
          <w:p w14:paraId="59E4316A"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6 – Dovere di segnalazione</w:t>
            </w:r>
          </w:p>
          <w:p w14:paraId="224893EB" w14:textId="77777777" w:rsidR="001201EF" w:rsidRPr="00D3283C" w:rsidRDefault="001201EF" w:rsidP="001201EF">
            <w:pPr>
              <w:pStyle w:val="Paragrafoelenco"/>
              <w:numPr>
                <w:ilvl w:val="0"/>
                <w:numId w:val="7"/>
              </w:numPr>
              <w:contextualSpacing w:val="0"/>
              <w:jc w:val="both"/>
              <w:rPr>
                <w:rFonts w:asciiTheme="minorHAnsi" w:hAnsiTheme="minorHAnsi" w:cstheme="minorHAnsi"/>
              </w:rPr>
            </w:pPr>
            <w:r w:rsidRPr="00D3283C">
              <w:rPr>
                <w:rFonts w:asciiTheme="minorHAnsi" w:hAnsiTheme="minorHAnsi" w:cstheme="minorHAnsi"/>
              </w:rPr>
              <w:t>I soggetti indicati nell’art. 1 devono segnalare al Comune qualsiasi tentativo di turbativa, irregolarità o distorsione nelle fasi di svolgimento della gara e della trattativa da parte di ogni altro concorrente o interessato, di cui vengano comunque a conoscenza.</w:t>
            </w:r>
          </w:p>
          <w:p w14:paraId="555F51C5" w14:textId="77777777" w:rsidR="001201EF" w:rsidRPr="00D3283C" w:rsidRDefault="001201EF" w:rsidP="001201EF">
            <w:pPr>
              <w:pStyle w:val="Paragrafoelenco"/>
              <w:numPr>
                <w:ilvl w:val="0"/>
                <w:numId w:val="7"/>
              </w:numPr>
              <w:contextualSpacing w:val="0"/>
              <w:jc w:val="both"/>
              <w:rPr>
                <w:rFonts w:asciiTheme="minorHAnsi" w:hAnsiTheme="minorHAnsi" w:cstheme="minorHAnsi"/>
              </w:rPr>
            </w:pPr>
            <w:r w:rsidRPr="00D3283C">
              <w:rPr>
                <w:rFonts w:asciiTheme="minorHAnsi" w:hAnsiTheme="minorHAnsi" w:cstheme="minorHAnsi"/>
              </w:rPr>
              <w:t>I soggetti indicati nell’art. 1 segnalano, altresì, qualsiasi richiesta di utilità, denaro, beni di valore o condizioni di vantaggio anche indiretto, da parte dei dipendenti comunali che gestiscono o promuovono appalti o trattative per contratti di lavori, forniture e servizi.</w:t>
            </w:r>
          </w:p>
          <w:p w14:paraId="44D0E3A2" w14:textId="77777777" w:rsidR="001201EF" w:rsidRPr="00D3283C" w:rsidRDefault="001201EF" w:rsidP="009E138F">
            <w:pPr>
              <w:jc w:val="both"/>
              <w:rPr>
                <w:rFonts w:asciiTheme="minorHAnsi" w:hAnsiTheme="minorHAnsi" w:cstheme="minorHAnsi"/>
              </w:rPr>
            </w:pPr>
          </w:p>
          <w:p w14:paraId="1CB99B5D"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7 – Mancata accettazione</w:t>
            </w:r>
          </w:p>
          <w:p w14:paraId="178A0CA3" w14:textId="77777777" w:rsidR="001201EF" w:rsidRPr="00D3283C" w:rsidRDefault="001201EF" w:rsidP="001201EF">
            <w:pPr>
              <w:pStyle w:val="Nessunaspaziatura"/>
              <w:numPr>
                <w:ilvl w:val="0"/>
                <w:numId w:val="8"/>
              </w:numPr>
              <w:jc w:val="both"/>
              <w:rPr>
                <w:rFonts w:asciiTheme="minorHAnsi" w:hAnsiTheme="minorHAnsi" w:cstheme="minorHAnsi"/>
              </w:rPr>
            </w:pPr>
            <w:r w:rsidRPr="00D3283C">
              <w:rPr>
                <w:rFonts w:asciiTheme="minorHAnsi" w:hAnsiTheme="minorHAnsi" w:cstheme="minorHAnsi"/>
              </w:rPr>
              <w:t>La mancata allegazione di una copia del presente codice etico alla documentazione di gara, copia debitamente sottoscritta per accettazione dal titolare o legale rappresentante del soggetto concorrente, comporta l’automatica esclusione dalla gara.</w:t>
            </w:r>
          </w:p>
          <w:p w14:paraId="2613987E" w14:textId="77777777" w:rsidR="001201EF" w:rsidRPr="00D3283C" w:rsidRDefault="001201EF" w:rsidP="001201EF">
            <w:pPr>
              <w:pStyle w:val="Nessunaspaziatura"/>
              <w:numPr>
                <w:ilvl w:val="0"/>
                <w:numId w:val="8"/>
              </w:numPr>
              <w:jc w:val="both"/>
              <w:rPr>
                <w:rFonts w:asciiTheme="minorHAnsi" w:hAnsiTheme="minorHAnsi" w:cstheme="minorHAnsi"/>
              </w:rPr>
            </w:pPr>
            <w:r w:rsidRPr="00D3283C">
              <w:rPr>
                <w:rFonts w:asciiTheme="minorHAnsi" w:hAnsiTheme="minorHAnsi" w:cstheme="minorHAnsi"/>
              </w:rPr>
              <w:t>Una copia del presente codice etico sottoscritta per accettazione deve essere consegnata all’ufficio comunale da chiunque intenda stipulare con il Comune contratti relativi a lavori, servizi o forniture.</w:t>
            </w:r>
          </w:p>
          <w:p w14:paraId="58CDD3FE" w14:textId="77777777" w:rsidR="001201EF" w:rsidRPr="00D3283C" w:rsidRDefault="001201EF" w:rsidP="009E138F">
            <w:pPr>
              <w:jc w:val="both"/>
              <w:rPr>
                <w:rFonts w:asciiTheme="minorHAnsi" w:hAnsiTheme="minorHAnsi" w:cstheme="minorHAnsi"/>
              </w:rPr>
            </w:pPr>
          </w:p>
          <w:p w14:paraId="6B4A9648"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8 – Violazione delle norme del codice etico</w:t>
            </w:r>
          </w:p>
          <w:p w14:paraId="27742E49" w14:textId="77777777" w:rsidR="001201EF" w:rsidRPr="00D3283C" w:rsidRDefault="001201EF" w:rsidP="001201EF">
            <w:pPr>
              <w:pStyle w:val="Nessunaspaziatura"/>
              <w:numPr>
                <w:ilvl w:val="0"/>
                <w:numId w:val="9"/>
              </w:numPr>
              <w:jc w:val="both"/>
              <w:rPr>
                <w:rStyle w:val="NessunaspaziaturaCarattere"/>
                <w:rFonts w:asciiTheme="minorHAnsi" w:hAnsiTheme="minorHAnsi" w:cstheme="minorHAnsi"/>
              </w:rPr>
            </w:pPr>
            <w:proofErr w:type="spellStart"/>
            <w:r w:rsidRPr="00D3283C">
              <w:rPr>
                <w:rStyle w:val="NessunaspaziaturaCarattere"/>
                <w:rFonts w:asciiTheme="minorHAnsi" w:hAnsiTheme="minorHAnsi" w:cstheme="minorHAnsi"/>
              </w:rPr>
              <w:t>L’accertamento</w:t>
            </w:r>
            <w:proofErr w:type="spellEnd"/>
            <w:r w:rsidRPr="00D3283C">
              <w:rPr>
                <w:rStyle w:val="NessunaspaziaturaCarattere"/>
                <w:rFonts w:asciiTheme="minorHAnsi" w:hAnsiTheme="minorHAnsi" w:cstheme="minorHAnsi"/>
              </w:rPr>
              <w:t xml:space="preserve"> di </w:t>
            </w:r>
            <w:proofErr w:type="spellStart"/>
            <w:r w:rsidRPr="00D3283C">
              <w:rPr>
                <w:rStyle w:val="NessunaspaziaturaCarattere"/>
                <w:rFonts w:asciiTheme="minorHAnsi" w:hAnsiTheme="minorHAnsi" w:cstheme="minorHAnsi"/>
              </w:rPr>
              <w:t>violazioni</w:t>
            </w:r>
            <w:proofErr w:type="spellEnd"/>
            <w:r w:rsidRPr="00D3283C">
              <w:rPr>
                <w:rStyle w:val="NessunaspaziaturaCarattere"/>
                <w:rFonts w:asciiTheme="minorHAnsi" w:hAnsiTheme="minorHAnsi" w:cstheme="minorHAnsi"/>
              </w:rPr>
              <w:t xml:space="preserve"> alle </w:t>
            </w:r>
            <w:proofErr w:type="spellStart"/>
            <w:r w:rsidRPr="00D3283C">
              <w:rPr>
                <w:rStyle w:val="NessunaspaziaturaCarattere"/>
                <w:rFonts w:asciiTheme="minorHAnsi" w:hAnsiTheme="minorHAnsi" w:cstheme="minorHAnsi"/>
              </w:rPr>
              <w:t>norme</w:t>
            </w:r>
            <w:proofErr w:type="spellEnd"/>
            <w:r w:rsidRPr="00D3283C">
              <w:rPr>
                <w:rStyle w:val="NessunaspaziaturaCarattere"/>
                <w:rFonts w:asciiTheme="minorHAnsi" w:hAnsiTheme="minorHAnsi" w:cstheme="minorHAnsi"/>
              </w:rPr>
              <w:t xml:space="preserve"> del </w:t>
            </w:r>
            <w:proofErr w:type="spellStart"/>
            <w:r w:rsidRPr="00D3283C">
              <w:rPr>
                <w:rStyle w:val="NessunaspaziaturaCarattere"/>
                <w:rFonts w:asciiTheme="minorHAnsi" w:hAnsiTheme="minorHAnsi" w:cstheme="minorHAnsi"/>
              </w:rPr>
              <w:t>presente</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codice</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comporta</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l’esclusione</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dalla</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gara</w:t>
            </w:r>
            <w:proofErr w:type="spellEnd"/>
            <w:r w:rsidRPr="00D3283C">
              <w:rPr>
                <w:rStyle w:val="NessunaspaziaturaCarattere"/>
                <w:rFonts w:asciiTheme="minorHAnsi" w:hAnsiTheme="minorHAnsi" w:cstheme="minorHAnsi"/>
              </w:rPr>
              <w:t xml:space="preserve"> o </w:t>
            </w:r>
            <w:proofErr w:type="spellStart"/>
            <w:r w:rsidRPr="00D3283C">
              <w:rPr>
                <w:rStyle w:val="NessunaspaziaturaCarattere"/>
                <w:rFonts w:asciiTheme="minorHAnsi" w:hAnsiTheme="minorHAnsi" w:cstheme="minorHAnsi"/>
              </w:rPr>
              <w:t>decadenza</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dall’aggiudicazione</w:t>
            </w:r>
            <w:proofErr w:type="spellEnd"/>
            <w:r w:rsidRPr="00D3283C">
              <w:rPr>
                <w:rStyle w:val="NessunaspaziaturaCarattere"/>
                <w:rFonts w:asciiTheme="minorHAnsi" w:hAnsiTheme="minorHAnsi" w:cstheme="minorHAnsi"/>
              </w:rPr>
              <w:t xml:space="preserve">, con </w:t>
            </w:r>
            <w:proofErr w:type="spellStart"/>
            <w:r w:rsidRPr="00D3283C">
              <w:rPr>
                <w:rStyle w:val="NessunaspaziaturaCarattere"/>
                <w:rFonts w:asciiTheme="minorHAnsi" w:hAnsiTheme="minorHAnsi" w:cstheme="minorHAnsi"/>
              </w:rPr>
              <w:t>conseguente</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incameramento</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della</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cauzione</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provvisoria</w:t>
            </w:r>
            <w:proofErr w:type="spellEnd"/>
            <w:r w:rsidRPr="00D3283C">
              <w:rPr>
                <w:rStyle w:val="NessunaspaziaturaCarattere"/>
                <w:rFonts w:asciiTheme="minorHAnsi" w:hAnsiTheme="minorHAnsi" w:cstheme="minorHAnsi"/>
              </w:rPr>
              <w:t xml:space="preserve">, salvo il </w:t>
            </w:r>
            <w:proofErr w:type="spellStart"/>
            <w:r w:rsidRPr="00D3283C">
              <w:rPr>
                <w:rStyle w:val="NessunaspaziaturaCarattere"/>
                <w:rFonts w:asciiTheme="minorHAnsi" w:hAnsiTheme="minorHAnsi" w:cstheme="minorHAnsi"/>
              </w:rPr>
              <w:t>risarcimento</w:t>
            </w:r>
            <w:proofErr w:type="spellEnd"/>
            <w:r w:rsidRPr="00D3283C">
              <w:rPr>
                <w:rStyle w:val="NessunaspaziaturaCarattere"/>
                <w:rFonts w:asciiTheme="minorHAnsi" w:hAnsiTheme="minorHAnsi" w:cstheme="minorHAnsi"/>
              </w:rPr>
              <w:t xml:space="preserve"> del </w:t>
            </w:r>
            <w:proofErr w:type="spellStart"/>
            <w:r w:rsidRPr="00D3283C">
              <w:rPr>
                <w:rStyle w:val="NessunaspaziaturaCarattere"/>
                <w:rFonts w:asciiTheme="minorHAnsi" w:hAnsiTheme="minorHAnsi" w:cstheme="minorHAnsi"/>
              </w:rPr>
              <w:t>maggior</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danno</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patrimoniale</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derivato</w:t>
            </w:r>
            <w:proofErr w:type="spellEnd"/>
            <w:r w:rsidRPr="00D3283C">
              <w:rPr>
                <w:rStyle w:val="NessunaspaziaturaCarattere"/>
                <w:rFonts w:asciiTheme="minorHAnsi" w:hAnsiTheme="minorHAnsi" w:cstheme="minorHAnsi"/>
              </w:rPr>
              <w:t xml:space="preserve"> al </w:t>
            </w:r>
            <w:proofErr w:type="spellStart"/>
            <w:r w:rsidRPr="00D3283C">
              <w:rPr>
                <w:rStyle w:val="NessunaspaziaturaCarattere"/>
                <w:rFonts w:asciiTheme="minorHAnsi" w:hAnsiTheme="minorHAnsi" w:cstheme="minorHAnsi"/>
              </w:rPr>
              <w:t>Comune</w:t>
            </w:r>
            <w:proofErr w:type="spellEnd"/>
            <w:r w:rsidRPr="00D3283C">
              <w:rPr>
                <w:rStyle w:val="NessunaspaziaturaCarattere"/>
                <w:rFonts w:asciiTheme="minorHAnsi" w:hAnsiTheme="minorHAnsi" w:cstheme="minorHAnsi"/>
              </w:rPr>
              <w:t xml:space="preserve"> per </w:t>
            </w:r>
            <w:proofErr w:type="spellStart"/>
            <w:r w:rsidRPr="00D3283C">
              <w:rPr>
                <w:rStyle w:val="NessunaspaziaturaCarattere"/>
                <w:rFonts w:asciiTheme="minorHAnsi" w:hAnsiTheme="minorHAnsi" w:cstheme="minorHAnsi"/>
              </w:rPr>
              <w:t>effetto</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dell’inadempimento</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agli</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obblighi</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assunti</w:t>
            </w:r>
            <w:proofErr w:type="spellEnd"/>
            <w:r w:rsidRPr="00D3283C">
              <w:rPr>
                <w:rStyle w:val="NessunaspaziaturaCarattere"/>
                <w:rFonts w:asciiTheme="minorHAnsi" w:hAnsiTheme="minorHAnsi" w:cstheme="minorHAnsi"/>
              </w:rPr>
              <w:t xml:space="preserve"> con </w:t>
            </w:r>
            <w:proofErr w:type="spellStart"/>
            <w:r w:rsidRPr="00D3283C">
              <w:rPr>
                <w:rStyle w:val="NessunaspaziaturaCarattere"/>
                <w:rFonts w:asciiTheme="minorHAnsi" w:hAnsiTheme="minorHAnsi" w:cstheme="minorHAnsi"/>
              </w:rPr>
              <w:t>l’accettazione</w:t>
            </w:r>
            <w:proofErr w:type="spellEnd"/>
            <w:r w:rsidRPr="00D3283C">
              <w:rPr>
                <w:rStyle w:val="NessunaspaziaturaCarattere"/>
                <w:rFonts w:asciiTheme="minorHAnsi" w:hAnsiTheme="minorHAnsi" w:cstheme="minorHAnsi"/>
              </w:rPr>
              <w:t xml:space="preserve"> del </w:t>
            </w:r>
            <w:proofErr w:type="spellStart"/>
            <w:r w:rsidRPr="00D3283C">
              <w:rPr>
                <w:rStyle w:val="NessunaspaziaturaCarattere"/>
                <w:rFonts w:asciiTheme="minorHAnsi" w:hAnsiTheme="minorHAnsi" w:cstheme="minorHAnsi"/>
              </w:rPr>
              <w:t>codice</w:t>
            </w:r>
            <w:proofErr w:type="spellEnd"/>
            <w:r w:rsidRPr="00D3283C">
              <w:rPr>
                <w:rStyle w:val="NessunaspaziaturaCarattere"/>
                <w:rFonts w:asciiTheme="minorHAnsi" w:hAnsiTheme="minorHAnsi" w:cstheme="minorHAnsi"/>
              </w:rPr>
              <w:t>.</w:t>
            </w:r>
          </w:p>
          <w:p w14:paraId="2F20702D" w14:textId="77777777" w:rsidR="001201EF" w:rsidRPr="00D3283C" w:rsidRDefault="001201EF" w:rsidP="001201EF">
            <w:pPr>
              <w:pStyle w:val="Nessunaspaziatura"/>
              <w:numPr>
                <w:ilvl w:val="0"/>
                <w:numId w:val="9"/>
              </w:numPr>
              <w:jc w:val="both"/>
              <w:rPr>
                <w:rStyle w:val="NessunaspaziaturaCarattere"/>
                <w:rFonts w:asciiTheme="minorHAnsi" w:hAnsiTheme="minorHAnsi" w:cstheme="minorHAnsi"/>
              </w:rPr>
            </w:pPr>
            <w:proofErr w:type="spellStart"/>
            <w:r w:rsidRPr="00D3283C">
              <w:rPr>
                <w:rStyle w:val="NessunaspaziaturaCarattere"/>
                <w:rFonts w:asciiTheme="minorHAnsi" w:hAnsiTheme="minorHAnsi" w:cstheme="minorHAnsi"/>
              </w:rPr>
              <w:t>Qualora</w:t>
            </w:r>
            <w:proofErr w:type="spellEnd"/>
            <w:r w:rsidRPr="00D3283C">
              <w:rPr>
                <w:rStyle w:val="NessunaspaziaturaCarattere"/>
                <w:rFonts w:asciiTheme="minorHAnsi" w:hAnsiTheme="minorHAnsi" w:cstheme="minorHAnsi"/>
              </w:rPr>
              <w:t xml:space="preserve"> la </w:t>
            </w:r>
            <w:proofErr w:type="spellStart"/>
            <w:r w:rsidRPr="00D3283C">
              <w:rPr>
                <w:rStyle w:val="NessunaspaziaturaCarattere"/>
                <w:rFonts w:asciiTheme="minorHAnsi" w:hAnsiTheme="minorHAnsi" w:cstheme="minorHAnsi"/>
              </w:rPr>
              <w:t>violazione</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sia</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accertata</w:t>
            </w:r>
            <w:proofErr w:type="spellEnd"/>
            <w:r w:rsidRPr="00D3283C">
              <w:rPr>
                <w:rStyle w:val="NessunaspaziaturaCarattere"/>
                <w:rFonts w:asciiTheme="minorHAnsi" w:hAnsiTheme="minorHAnsi" w:cstheme="minorHAnsi"/>
              </w:rPr>
              <w:t xml:space="preserve"> dopo la </w:t>
            </w:r>
            <w:proofErr w:type="spellStart"/>
            <w:r w:rsidRPr="00D3283C">
              <w:rPr>
                <w:rStyle w:val="NessunaspaziaturaCarattere"/>
                <w:rFonts w:asciiTheme="minorHAnsi" w:hAnsiTheme="minorHAnsi" w:cstheme="minorHAnsi"/>
              </w:rPr>
              <w:t>stipulazione</w:t>
            </w:r>
            <w:proofErr w:type="spellEnd"/>
            <w:r w:rsidRPr="00D3283C">
              <w:rPr>
                <w:rStyle w:val="NessunaspaziaturaCarattere"/>
                <w:rFonts w:asciiTheme="minorHAnsi" w:hAnsiTheme="minorHAnsi" w:cstheme="minorHAnsi"/>
              </w:rPr>
              <w:t xml:space="preserve"> del </w:t>
            </w:r>
            <w:proofErr w:type="spellStart"/>
            <w:r w:rsidRPr="00D3283C">
              <w:rPr>
                <w:rStyle w:val="NessunaspaziaturaCarattere"/>
                <w:rFonts w:asciiTheme="minorHAnsi" w:hAnsiTheme="minorHAnsi" w:cstheme="minorHAnsi"/>
              </w:rPr>
              <w:t>contratto</w:t>
            </w:r>
            <w:proofErr w:type="spellEnd"/>
            <w:r w:rsidRPr="00D3283C">
              <w:rPr>
                <w:rStyle w:val="NessunaspaziaturaCarattere"/>
                <w:rFonts w:asciiTheme="minorHAnsi" w:hAnsiTheme="minorHAnsi" w:cstheme="minorHAnsi"/>
              </w:rPr>
              <w:t xml:space="preserve">, la </w:t>
            </w:r>
            <w:proofErr w:type="spellStart"/>
            <w:r w:rsidRPr="00D3283C">
              <w:rPr>
                <w:rStyle w:val="NessunaspaziaturaCarattere"/>
                <w:rFonts w:asciiTheme="minorHAnsi" w:hAnsiTheme="minorHAnsi" w:cstheme="minorHAnsi"/>
              </w:rPr>
              <w:t>stessa</w:t>
            </w:r>
            <w:proofErr w:type="spellEnd"/>
            <w:r w:rsidRPr="00D3283C">
              <w:rPr>
                <w:rStyle w:val="NessunaspaziaturaCarattere"/>
                <w:rFonts w:asciiTheme="minorHAnsi" w:hAnsiTheme="minorHAnsi" w:cstheme="minorHAnsi"/>
              </w:rPr>
              <w:t xml:space="preserve"> </w:t>
            </w:r>
            <w:proofErr w:type="spellStart"/>
            <w:r w:rsidRPr="00D3283C">
              <w:rPr>
                <w:rStyle w:val="NessunaspaziaturaCarattere"/>
                <w:rFonts w:asciiTheme="minorHAnsi" w:hAnsiTheme="minorHAnsi" w:cstheme="minorHAnsi"/>
              </w:rPr>
              <w:t>rappresenta</w:t>
            </w:r>
            <w:proofErr w:type="spellEnd"/>
            <w:r w:rsidRPr="00D3283C">
              <w:rPr>
                <w:rStyle w:val="NessunaspaziaturaCarattere"/>
                <w:rFonts w:asciiTheme="minorHAnsi" w:hAnsiTheme="minorHAnsi" w:cstheme="minorHAnsi"/>
              </w:rPr>
              <w:t xml:space="preserve"> causa di </w:t>
            </w:r>
            <w:proofErr w:type="spellStart"/>
            <w:r w:rsidRPr="00D3283C">
              <w:rPr>
                <w:rStyle w:val="NessunaspaziaturaCarattere"/>
                <w:rFonts w:asciiTheme="minorHAnsi" w:hAnsiTheme="minorHAnsi" w:cstheme="minorHAnsi"/>
              </w:rPr>
              <w:t>risoluzione</w:t>
            </w:r>
            <w:proofErr w:type="spellEnd"/>
            <w:r w:rsidRPr="00D3283C">
              <w:rPr>
                <w:rStyle w:val="NessunaspaziaturaCarattere"/>
                <w:rFonts w:asciiTheme="minorHAnsi" w:hAnsiTheme="minorHAnsi" w:cstheme="minorHAnsi"/>
              </w:rPr>
              <w:t xml:space="preserve"> del </w:t>
            </w:r>
            <w:proofErr w:type="spellStart"/>
            <w:r w:rsidRPr="00D3283C">
              <w:rPr>
                <w:rStyle w:val="NessunaspaziaturaCarattere"/>
                <w:rFonts w:asciiTheme="minorHAnsi" w:hAnsiTheme="minorHAnsi" w:cstheme="minorHAnsi"/>
              </w:rPr>
              <w:t>contratto</w:t>
            </w:r>
            <w:proofErr w:type="spellEnd"/>
            <w:r w:rsidRPr="00D3283C">
              <w:rPr>
                <w:rStyle w:val="NessunaspaziaturaCarattere"/>
                <w:rFonts w:asciiTheme="minorHAnsi" w:hAnsiTheme="minorHAnsi" w:cstheme="minorHAnsi"/>
              </w:rPr>
              <w:t xml:space="preserve"> per </w:t>
            </w:r>
            <w:proofErr w:type="spellStart"/>
            <w:r w:rsidRPr="00D3283C">
              <w:rPr>
                <w:rStyle w:val="NessunaspaziaturaCarattere"/>
                <w:rFonts w:asciiTheme="minorHAnsi" w:hAnsiTheme="minorHAnsi" w:cstheme="minorHAnsi"/>
              </w:rPr>
              <w:t>colpa</w:t>
            </w:r>
            <w:proofErr w:type="spellEnd"/>
            <w:r w:rsidRPr="00D3283C">
              <w:rPr>
                <w:rStyle w:val="NessunaspaziaturaCarattere"/>
                <w:rFonts w:asciiTheme="minorHAnsi" w:hAnsiTheme="minorHAnsi" w:cstheme="minorHAnsi"/>
              </w:rPr>
              <w:t>.</w:t>
            </w:r>
          </w:p>
          <w:p w14:paraId="0A7C3708" w14:textId="77777777" w:rsidR="001201EF" w:rsidRPr="00D3283C" w:rsidRDefault="001201EF" w:rsidP="009E138F">
            <w:pPr>
              <w:pStyle w:val="Nessunaspaziatura"/>
              <w:jc w:val="both"/>
              <w:rPr>
                <w:rStyle w:val="NessunaspaziaturaCarattere"/>
                <w:rFonts w:asciiTheme="minorHAnsi" w:hAnsiTheme="minorHAnsi" w:cstheme="minorHAnsi"/>
              </w:rPr>
            </w:pPr>
          </w:p>
          <w:p w14:paraId="5A57E8B9" w14:textId="77777777" w:rsidR="001201EF" w:rsidRPr="00D3283C" w:rsidRDefault="001201EF" w:rsidP="009E138F">
            <w:pPr>
              <w:jc w:val="both"/>
              <w:rPr>
                <w:rFonts w:asciiTheme="minorHAnsi" w:hAnsiTheme="minorHAnsi" w:cstheme="minorHAnsi"/>
                <w:b/>
                <w:bCs/>
              </w:rPr>
            </w:pPr>
          </w:p>
          <w:p w14:paraId="7987F199"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PARTE SECONDA</w:t>
            </w:r>
          </w:p>
          <w:p w14:paraId="6F4C661A"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lastRenderedPageBreak/>
              <w:t>Art. 9 – Disposizioni generali relative alla parte II</w:t>
            </w:r>
          </w:p>
          <w:p w14:paraId="60F5E675"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1.</w:t>
            </w:r>
            <w:r w:rsidRPr="00D3283C">
              <w:rPr>
                <w:rFonts w:asciiTheme="minorHAnsi" w:hAnsiTheme="minorHAnsi" w:cstheme="minorHAnsi"/>
              </w:rPr>
              <w:tab/>
              <w:t>I dipendenti del Comune che gestiscono o promuovono appalti o trattative finalizzate alla stipulazione di contratti di lavori, forniture o servizi, devono attenersi alle seguenti disposizioni del codice etico.</w:t>
            </w:r>
          </w:p>
          <w:p w14:paraId="54970FD0"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2.</w:t>
            </w:r>
            <w:r w:rsidRPr="00D3283C">
              <w:rPr>
                <w:rFonts w:asciiTheme="minorHAnsi" w:hAnsiTheme="minorHAnsi" w:cstheme="minorHAnsi"/>
              </w:rPr>
              <w:tab/>
              <w:t>Ogni loro violazione rappresenta inadempimento a doveri d’ufficio e può comportare l’apertura di un procedimento disciplinare con l‘applicazione delle sanzioni conseguenti.</w:t>
            </w:r>
          </w:p>
          <w:p w14:paraId="42467B53" w14:textId="77777777" w:rsidR="001201EF" w:rsidRPr="00D3283C" w:rsidRDefault="001201EF" w:rsidP="009E138F">
            <w:pPr>
              <w:jc w:val="both"/>
              <w:rPr>
                <w:rFonts w:asciiTheme="minorHAnsi" w:hAnsiTheme="minorHAnsi" w:cstheme="minorHAnsi"/>
              </w:rPr>
            </w:pPr>
          </w:p>
          <w:p w14:paraId="24F5F40C"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10 – Obbligo di imparzialità</w:t>
            </w:r>
          </w:p>
          <w:p w14:paraId="0AA0427C"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1.</w:t>
            </w:r>
            <w:r w:rsidRPr="00D3283C">
              <w:rPr>
                <w:rFonts w:asciiTheme="minorHAnsi" w:hAnsiTheme="minorHAnsi" w:cstheme="minorHAnsi"/>
              </w:rPr>
              <w:tab/>
              <w:t>Il dipendente deve assicurare la parità di trattamento tra i soggetti che intendono partecipare ad appalti o a trattative per contratti di lavori, forniture e servizi.</w:t>
            </w:r>
          </w:p>
          <w:p w14:paraId="41234585"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2.</w:t>
            </w:r>
            <w:r w:rsidRPr="00D3283C">
              <w:rPr>
                <w:rFonts w:asciiTheme="minorHAnsi" w:hAnsiTheme="minorHAnsi" w:cstheme="minorHAnsi"/>
              </w:rPr>
              <w:tab/>
              <w:t>Pertanto, il dipendente deve astenersi da qualunque informazione o trattamento preferenziale che possa avvantaggiare uno o più concorrenti o interessati alla stipulazione di contratti rispetto agli altri, come deve evitare qualunque ritardo, omissione di informazione o trattamento negativo che possa danneggiare uno o più concorrenti o interessati alla stipulazione di contratti di lavori, forniture e servizi.</w:t>
            </w:r>
          </w:p>
          <w:p w14:paraId="012EDB2F" w14:textId="77777777" w:rsidR="001201EF" w:rsidRPr="00D3283C" w:rsidRDefault="001201EF" w:rsidP="009E138F">
            <w:pPr>
              <w:jc w:val="both"/>
              <w:rPr>
                <w:rFonts w:asciiTheme="minorHAnsi" w:hAnsiTheme="minorHAnsi" w:cstheme="minorHAnsi"/>
              </w:rPr>
            </w:pPr>
          </w:p>
          <w:p w14:paraId="7D9B41B5"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11 – Obbligo di riservatezza</w:t>
            </w:r>
          </w:p>
          <w:p w14:paraId="4834C054"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1.</w:t>
            </w:r>
            <w:r w:rsidRPr="00D3283C">
              <w:rPr>
                <w:rFonts w:asciiTheme="minorHAnsi" w:hAnsiTheme="minorHAnsi" w:cstheme="minorHAnsi"/>
              </w:rPr>
              <w:tab/>
              <w:t>Il dipendente, nel corso delle gare d’appalto e delle trattative per la stipulazione dei contratti di lavori, forniture e servizi, deve mantenere riservate tutte le informazioni di cui disponga per ragioni di ufficio che non debbano essere rese pubbliche per disposizioni di legge o di regolamento.</w:t>
            </w:r>
          </w:p>
          <w:p w14:paraId="2AC33A66"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2.</w:t>
            </w:r>
            <w:r w:rsidRPr="00D3283C">
              <w:rPr>
                <w:rFonts w:asciiTheme="minorHAnsi" w:hAnsiTheme="minorHAnsi" w:cstheme="minorHAnsi"/>
              </w:rPr>
              <w:tab/>
              <w:t>Mantiene con particolare cura la riservatezza inerente all’attività negoziale ed i nominativi dei concorrenti prima dell’aggiudicazione o affidamento.</w:t>
            </w:r>
          </w:p>
          <w:p w14:paraId="1EA41367" w14:textId="77777777" w:rsidR="001201EF" w:rsidRPr="00D3283C" w:rsidRDefault="001201EF" w:rsidP="009E138F">
            <w:pPr>
              <w:jc w:val="both"/>
              <w:rPr>
                <w:rFonts w:asciiTheme="minorHAnsi" w:hAnsiTheme="minorHAnsi" w:cstheme="minorHAnsi"/>
              </w:rPr>
            </w:pPr>
          </w:p>
          <w:p w14:paraId="178920AD"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12 – Obbligo di evitare conflitto di interessi</w:t>
            </w:r>
          </w:p>
          <w:p w14:paraId="02B7408D"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1.</w:t>
            </w:r>
            <w:r w:rsidRPr="00D3283C">
              <w:rPr>
                <w:rFonts w:asciiTheme="minorHAnsi" w:hAnsiTheme="minorHAnsi" w:cstheme="minorHAnsi"/>
              </w:rPr>
              <w:tab/>
              <w:t>Il dipendente deve evitare qualunque situazione che lo ponga in una posizione di conflitto di interessi con il Comune nella gestione di gare di appalto e di trattative contrattuali.</w:t>
            </w:r>
          </w:p>
          <w:p w14:paraId="4B342170"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2.</w:t>
            </w:r>
            <w:r w:rsidRPr="00D3283C">
              <w:rPr>
                <w:rFonts w:asciiTheme="minorHAnsi" w:hAnsiTheme="minorHAnsi" w:cstheme="minorHAnsi"/>
              </w:rPr>
              <w:tab/>
              <w:t>Pertanto, qualora egli fosse, per qualunque ragione e forma, partecipe o interessato, personalmente o attraverso familiari o congiunti, all’attività del soggetto che intende concorrere alla gara d’appalto comunale o stipulare contratti di lavori, forniture e servizi col Comune, deve darne immediata comunicazione al suo Dirigente/Responsabile di servizio e comunque astenersi da ogni attività amministrativa attinente alla gara o alla trattativa.</w:t>
            </w:r>
          </w:p>
          <w:p w14:paraId="29F392B8"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3.</w:t>
            </w:r>
            <w:r w:rsidRPr="00D3283C">
              <w:rPr>
                <w:rFonts w:asciiTheme="minorHAnsi" w:hAnsiTheme="minorHAnsi" w:cstheme="minorHAnsi"/>
              </w:rPr>
              <w:tab/>
              <w:t>Per famigliari o congiunti si intendono il coniuge, i parenti e gli affini fino al quarto grado e le persone conviventi.</w:t>
            </w:r>
          </w:p>
          <w:p w14:paraId="00505CD6" w14:textId="77777777" w:rsidR="001201EF" w:rsidRPr="00D3283C" w:rsidRDefault="001201EF" w:rsidP="009E138F">
            <w:pPr>
              <w:jc w:val="both"/>
              <w:rPr>
                <w:rFonts w:asciiTheme="minorHAnsi" w:hAnsiTheme="minorHAnsi" w:cstheme="minorHAnsi"/>
              </w:rPr>
            </w:pPr>
          </w:p>
          <w:p w14:paraId="260635DE"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13 – Obbligo di rifiutare regalie</w:t>
            </w:r>
          </w:p>
          <w:p w14:paraId="574D3AFF"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1.</w:t>
            </w:r>
            <w:r w:rsidRPr="00D3283C">
              <w:rPr>
                <w:rFonts w:asciiTheme="minorHAnsi" w:hAnsiTheme="minorHAnsi" w:cstheme="minorHAnsi"/>
              </w:rPr>
              <w:tab/>
              <w:t>Il dipendente deve rifiutare qualsiasi offerta di utilità, denaro, beni di valore o condizioni di vantaggio anche indiretto da soggetti che intendano partecipare alle gare d’appalto comunali o stipulare col Comune contratti di lavori, forniture e servizi.</w:t>
            </w:r>
          </w:p>
          <w:p w14:paraId="48DD3D73" w14:textId="77777777" w:rsidR="001201EF" w:rsidRPr="00D3283C" w:rsidRDefault="001201EF" w:rsidP="009E138F">
            <w:pPr>
              <w:jc w:val="both"/>
              <w:rPr>
                <w:rFonts w:asciiTheme="minorHAnsi" w:hAnsiTheme="minorHAnsi" w:cstheme="minorHAnsi"/>
              </w:rPr>
            </w:pPr>
          </w:p>
          <w:p w14:paraId="6A8B456F"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14 – Obbligo di non prestare attività a favore di concorrenti o stipulanti</w:t>
            </w:r>
          </w:p>
          <w:p w14:paraId="7BF3994C"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lastRenderedPageBreak/>
              <w:t>1.</w:t>
            </w:r>
            <w:r w:rsidRPr="00D3283C">
              <w:rPr>
                <w:rFonts w:asciiTheme="minorHAnsi" w:hAnsiTheme="minorHAnsi" w:cstheme="minorHAnsi"/>
              </w:rPr>
              <w:tab/>
              <w:t>Il dipendente deve astenersi da qualsiasi prestazione professionale, tecnica o amministrativa al di fuori dei suoi compiti d’ufficio anche occasionale, a favore e per conto di soggetti interessati a gare d’appalto comunali o a trattative per stipulazione di contratti con il Comune.</w:t>
            </w:r>
          </w:p>
          <w:p w14:paraId="4B4D00FA" w14:textId="77777777" w:rsidR="001201EF" w:rsidRPr="00D3283C" w:rsidRDefault="001201EF" w:rsidP="009E138F">
            <w:pPr>
              <w:jc w:val="both"/>
              <w:rPr>
                <w:rFonts w:asciiTheme="minorHAnsi" w:hAnsiTheme="minorHAnsi" w:cstheme="minorHAnsi"/>
              </w:rPr>
            </w:pPr>
          </w:p>
          <w:p w14:paraId="642B6723"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Art. 15 – Doveri del Dirigente</w:t>
            </w:r>
          </w:p>
          <w:p w14:paraId="70208E44" w14:textId="77777777" w:rsidR="001201EF" w:rsidRPr="00D3283C" w:rsidRDefault="001201EF" w:rsidP="009E138F">
            <w:pPr>
              <w:jc w:val="both"/>
              <w:rPr>
                <w:rFonts w:asciiTheme="minorHAnsi" w:hAnsiTheme="minorHAnsi" w:cstheme="minorHAnsi"/>
              </w:rPr>
            </w:pPr>
            <w:r w:rsidRPr="00D3283C">
              <w:rPr>
                <w:rFonts w:asciiTheme="minorHAnsi" w:hAnsiTheme="minorHAnsi" w:cstheme="minorHAnsi"/>
              </w:rPr>
              <w:t>1.</w:t>
            </w:r>
            <w:r w:rsidRPr="00D3283C">
              <w:rPr>
                <w:rFonts w:asciiTheme="minorHAnsi" w:hAnsiTheme="minorHAnsi" w:cstheme="minorHAnsi"/>
              </w:rPr>
              <w:tab/>
              <w:t>Il Dirigente responsabile della gestione degli appalti e delle trattative per contratti di lavori, forniture e servizi, è personalmente obbligato all’osservanza delle norme precedenti e deve vigilare affinché il personale addetto alla gestione degli appalti ed alle trattative contrattuali rispetti la stessa normativa.</w:t>
            </w:r>
          </w:p>
          <w:p w14:paraId="2BFEBDC4" w14:textId="77777777" w:rsidR="001201EF" w:rsidRPr="00D3283C" w:rsidRDefault="001201EF" w:rsidP="009E138F">
            <w:pPr>
              <w:rPr>
                <w:rFonts w:asciiTheme="minorHAnsi" w:hAnsiTheme="minorHAnsi" w:cstheme="minorHAnsi"/>
                <w:sz w:val="22"/>
                <w:szCs w:val="22"/>
              </w:rPr>
            </w:pPr>
          </w:p>
          <w:p w14:paraId="66C2D3CE"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PARTE TERZA</w:t>
            </w:r>
          </w:p>
          <w:p w14:paraId="5B446A3D"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 xml:space="preserve">Art. 16- Divieto di </w:t>
            </w:r>
            <w:proofErr w:type="spellStart"/>
            <w:r w:rsidRPr="00D3283C">
              <w:rPr>
                <w:rFonts w:asciiTheme="minorHAnsi" w:hAnsiTheme="minorHAnsi" w:cstheme="minorHAnsi"/>
                <w:b/>
                <w:bCs/>
                <w:i/>
                <w:iCs/>
              </w:rPr>
              <w:t>pantouflage</w:t>
            </w:r>
            <w:proofErr w:type="spellEnd"/>
            <w:r w:rsidRPr="00D3283C">
              <w:rPr>
                <w:rFonts w:asciiTheme="minorHAnsi" w:hAnsiTheme="minorHAnsi" w:cstheme="minorHAnsi"/>
                <w:b/>
                <w:bCs/>
                <w:i/>
                <w:iCs/>
              </w:rPr>
              <w:t xml:space="preserve"> </w:t>
            </w:r>
            <w:r w:rsidRPr="00D3283C">
              <w:rPr>
                <w:rFonts w:asciiTheme="minorHAnsi" w:hAnsiTheme="minorHAnsi" w:cstheme="minorHAnsi"/>
                <w:b/>
                <w:bCs/>
              </w:rPr>
              <w:t>(comma 16-ter dell’art. 53 del d.lgs. 165/2001).</w:t>
            </w:r>
          </w:p>
          <w:p w14:paraId="6AAC8F48" w14:textId="77777777" w:rsidR="001201EF" w:rsidRPr="00D3283C" w:rsidRDefault="001201EF" w:rsidP="001201EF">
            <w:pPr>
              <w:pStyle w:val="Paragrafoelenco"/>
              <w:numPr>
                <w:ilvl w:val="0"/>
                <w:numId w:val="10"/>
              </w:numPr>
              <w:contextualSpacing w:val="0"/>
              <w:jc w:val="both"/>
              <w:rPr>
                <w:rFonts w:asciiTheme="minorHAnsi" w:hAnsiTheme="minorHAnsi" w:cstheme="minorHAnsi"/>
              </w:rPr>
            </w:pPr>
            <w:r w:rsidRPr="00D3283C">
              <w:rPr>
                <w:rFonts w:asciiTheme="minorHAnsi" w:hAnsiTheme="minorHAnsi" w:cstheme="minorHAnsi"/>
              </w:rPr>
              <w:t xml:space="preserve">I soggetti indicati nell’art. 1 devono evitare ai sensi dell'art. 53, comma 16 ter, del D.lgs. 165/2001 e dell'art. 21 del D.lgs. 39/2013, di concludere contratti di lavoro subordinato o autonomo, con ex dipendenti o ex incaricati (per incarichi di cui al D.lgs. 39/2013) del Comune - nel triennio successivo alla cessazione del loro rapporto con l'Ente </w:t>
            </w:r>
            <w:r w:rsidRPr="00D3283C">
              <w:rPr>
                <w:rFonts w:asciiTheme="minorHAnsi" w:hAnsiTheme="minorHAnsi" w:cstheme="minorHAnsi"/>
                <w:shd w:val="clear" w:color="auto" w:fill="FFFFFF"/>
              </w:rPr>
              <w:t>medesimo - i quali abbiano esercitato poteri autoritativi o negoziali, per conto dello stesso Ente e nei confronti dell'affidatario stesso, negli ultimi tre anni di servizio presso l'Ente.</w:t>
            </w:r>
          </w:p>
          <w:p w14:paraId="7901B749" w14:textId="77777777" w:rsidR="001201EF" w:rsidRPr="00D3283C" w:rsidRDefault="001201EF" w:rsidP="001201EF">
            <w:pPr>
              <w:pStyle w:val="Paragrafoelenco"/>
              <w:numPr>
                <w:ilvl w:val="0"/>
                <w:numId w:val="10"/>
              </w:numPr>
              <w:contextualSpacing w:val="0"/>
              <w:jc w:val="both"/>
              <w:rPr>
                <w:rFonts w:asciiTheme="minorHAnsi" w:hAnsiTheme="minorHAnsi" w:cstheme="minorHAnsi"/>
              </w:rPr>
            </w:pPr>
            <w:r w:rsidRPr="00D3283C">
              <w:rPr>
                <w:rFonts w:asciiTheme="minorHAnsi" w:hAnsiTheme="minorHAnsi" w:cstheme="minorHAnsi"/>
                <w:shd w:val="clear" w:color="auto" w:fill="FFFFFF"/>
              </w:rPr>
              <w:t xml:space="preserve">I soggetti indicati nell’art. 1 sono consapevoli che i contratti conclusi e gli incarichi conferiti in violazione di quanto previsto dal presente articolo sono nulli ed è fatto divieto ai soggetti privati che li hanno conclusi o conferiti di contrattare con le pubbliche amministrazioni per i successivi tre anni con obbligo di restituzione dei compensi eventualmente percepiti e accertati ad essi riferiti. </w:t>
            </w:r>
          </w:p>
          <w:p w14:paraId="51E16E91" w14:textId="77777777" w:rsidR="001201EF" w:rsidRPr="00D3283C" w:rsidRDefault="001201EF" w:rsidP="001201EF">
            <w:pPr>
              <w:pStyle w:val="Paragrafoelenco"/>
              <w:numPr>
                <w:ilvl w:val="0"/>
                <w:numId w:val="10"/>
              </w:numPr>
              <w:contextualSpacing w:val="0"/>
              <w:jc w:val="both"/>
              <w:rPr>
                <w:rFonts w:asciiTheme="minorHAnsi" w:hAnsiTheme="minorHAnsi" w:cstheme="minorHAnsi"/>
              </w:rPr>
            </w:pPr>
            <w:r w:rsidRPr="00D3283C">
              <w:rPr>
                <w:rFonts w:asciiTheme="minorHAnsi" w:hAnsiTheme="minorHAnsi" w:cstheme="minorHAnsi"/>
                <w:shd w:val="clear" w:color="auto" w:fill="FFFFFF"/>
              </w:rPr>
              <w:t>I soggetti indicati nell’art. 1, pertanto si impegnano a non concludere contratti, che integrino la fattispecie di cui all'art. 53, comma 16 ter, del D.lgs. 165/2001 e all'art. 21 del D.lgs. 39/2013, per tutto il periodo di vigenza dell’affidamento dei lavori, servizi e forniture.</w:t>
            </w:r>
          </w:p>
          <w:p w14:paraId="505BA50A" w14:textId="77777777" w:rsidR="001201EF" w:rsidRPr="00D3283C" w:rsidRDefault="001201EF" w:rsidP="009E138F">
            <w:pPr>
              <w:jc w:val="both"/>
              <w:rPr>
                <w:rFonts w:asciiTheme="minorHAnsi" w:hAnsiTheme="minorHAnsi" w:cstheme="minorHAnsi"/>
                <w:b/>
                <w:bCs/>
              </w:rPr>
            </w:pPr>
            <w:r w:rsidRPr="00D3283C">
              <w:rPr>
                <w:rFonts w:asciiTheme="minorHAnsi" w:hAnsiTheme="minorHAnsi" w:cstheme="minorHAnsi"/>
                <w:b/>
                <w:bCs/>
              </w:rPr>
              <w:t xml:space="preserve">Art. 17- Divieto di </w:t>
            </w:r>
            <w:proofErr w:type="spellStart"/>
            <w:r w:rsidRPr="00D3283C">
              <w:rPr>
                <w:rFonts w:asciiTheme="minorHAnsi" w:hAnsiTheme="minorHAnsi" w:cstheme="minorHAnsi"/>
                <w:b/>
                <w:bCs/>
                <w:i/>
                <w:iCs/>
              </w:rPr>
              <w:t>pantouflage</w:t>
            </w:r>
            <w:proofErr w:type="spellEnd"/>
            <w:r w:rsidRPr="00D3283C">
              <w:rPr>
                <w:rFonts w:asciiTheme="minorHAnsi" w:hAnsiTheme="minorHAnsi" w:cstheme="minorHAnsi"/>
                <w:b/>
                <w:bCs/>
                <w:i/>
                <w:iCs/>
              </w:rPr>
              <w:t xml:space="preserve"> </w:t>
            </w:r>
            <w:r w:rsidRPr="00D3283C">
              <w:rPr>
                <w:rFonts w:asciiTheme="minorHAnsi" w:hAnsiTheme="minorHAnsi" w:cstheme="minorHAnsi"/>
                <w:b/>
                <w:bCs/>
              </w:rPr>
              <w:t>(comma 16-ter dell’art. 53 del d.lgs. 165/2001).</w:t>
            </w:r>
          </w:p>
          <w:p w14:paraId="66D74DD7" w14:textId="77777777" w:rsidR="001201EF" w:rsidRDefault="001201EF" w:rsidP="001201EF">
            <w:pPr>
              <w:pStyle w:val="Paragrafoelenco"/>
              <w:numPr>
                <w:ilvl w:val="0"/>
                <w:numId w:val="11"/>
              </w:numPr>
              <w:contextualSpacing w:val="0"/>
              <w:jc w:val="both"/>
              <w:rPr>
                <w:rFonts w:asciiTheme="minorHAnsi" w:hAnsiTheme="minorHAnsi" w:cstheme="minorHAnsi"/>
              </w:rPr>
            </w:pPr>
            <w:r w:rsidRPr="00D3283C">
              <w:rPr>
                <w:rFonts w:asciiTheme="minorHAnsi" w:hAnsiTheme="minorHAnsi" w:cstheme="minorHAnsi"/>
              </w:rPr>
              <w:t xml:space="preserve">Agli ex dipendenti comunali che, negli ultimi tre anni di servizio, abbiano esercitato poteri autoritativi o negoziali non è consentito svolgere, nei tre anni successivi alla cessazione del rapporto di pubblico impiego, attività lavorativa o professionale presso soggetti privati destinatari dell’attività della medesima amministrazione (comma 16-ter dell’art. 53 del d.lgs. 165/2001). </w:t>
            </w:r>
          </w:p>
          <w:p w14:paraId="6CD22FCF" w14:textId="77777777" w:rsidR="001201EF" w:rsidRPr="00D3283C" w:rsidRDefault="001201EF" w:rsidP="009E138F">
            <w:pPr>
              <w:pStyle w:val="Paragrafoelenco"/>
              <w:ind w:left="360"/>
              <w:jc w:val="both"/>
              <w:rPr>
                <w:rFonts w:asciiTheme="minorHAnsi" w:hAnsiTheme="minorHAnsi" w:cstheme="minorHAnsi"/>
              </w:rPr>
            </w:pPr>
          </w:p>
        </w:tc>
      </w:tr>
    </w:tbl>
    <w:p w14:paraId="48CAB4F9" w14:textId="77777777" w:rsidR="00DA0B54" w:rsidRDefault="00DA0B54"/>
    <w:sectPr w:rsidR="00DA0B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B47"/>
    <w:multiLevelType w:val="hybridMultilevel"/>
    <w:tmpl w:val="529CA6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507066D"/>
    <w:multiLevelType w:val="hybridMultilevel"/>
    <w:tmpl w:val="4D80A0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1017CDF"/>
    <w:multiLevelType w:val="hybridMultilevel"/>
    <w:tmpl w:val="B4886626"/>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3459E"/>
    <w:multiLevelType w:val="hybridMultilevel"/>
    <w:tmpl w:val="74CACB2A"/>
    <w:lvl w:ilvl="0" w:tplc="0410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1202257"/>
    <w:multiLevelType w:val="hybridMultilevel"/>
    <w:tmpl w:val="CAEA22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CF342A"/>
    <w:multiLevelType w:val="hybridMultilevel"/>
    <w:tmpl w:val="D62AB9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0F725DE"/>
    <w:multiLevelType w:val="hybridMultilevel"/>
    <w:tmpl w:val="0D9091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2CC47C9"/>
    <w:multiLevelType w:val="hybridMultilevel"/>
    <w:tmpl w:val="0876F966"/>
    <w:lvl w:ilvl="0" w:tplc="041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42453AB"/>
    <w:multiLevelType w:val="hybridMultilevel"/>
    <w:tmpl w:val="F0BE69F4"/>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DE6255"/>
    <w:multiLevelType w:val="hybridMultilevel"/>
    <w:tmpl w:val="2208EB38"/>
    <w:lvl w:ilvl="0" w:tplc="543A9AF2">
      <w:start w:val="1"/>
      <w:numFmt w:val="decimal"/>
      <w:lvlText w:val="%1."/>
      <w:lvlJc w:val="left"/>
      <w:pPr>
        <w:ind w:left="360" w:hanging="360"/>
      </w:pPr>
      <w:rPr>
        <w:rFonts w:asciiTheme="minorBidi" w:hAnsiTheme="minorBidi" w:cstheme="minorBid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703A1E2E"/>
    <w:multiLevelType w:val="hybridMultilevel"/>
    <w:tmpl w:val="18B06E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90669545">
    <w:abstractNumId w:val="8"/>
  </w:num>
  <w:num w:numId="2" w16cid:durableId="65811726">
    <w:abstractNumId w:val="4"/>
  </w:num>
  <w:num w:numId="3" w16cid:durableId="1027099247">
    <w:abstractNumId w:val="2"/>
  </w:num>
  <w:num w:numId="4" w16cid:durableId="2102219098">
    <w:abstractNumId w:val="3"/>
  </w:num>
  <w:num w:numId="5" w16cid:durableId="793597164">
    <w:abstractNumId w:val="6"/>
  </w:num>
  <w:num w:numId="6" w16cid:durableId="1091317588">
    <w:abstractNumId w:val="10"/>
  </w:num>
  <w:num w:numId="7" w16cid:durableId="109517156">
    <w:abstractNumId w:val="9"/>
  </w:num>
  <w:num w:numId="8" w16cid:durableId="343633651">
    <w:abstractNumId w:val="5"/>
  </w:num>
  <w:num w:numId="9" w16cid:durableId="867328506">
    <w:abstractNumId w:val="7"/>
  </w:num>
  <w:num w:numId="10" w16cid:durableId="1415397306">
    <w:abstractNumId w:val="0"/>
  </w:num>
  <w:num w:numId="11" w16cid:durableId="109714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EF"/>
    <w:rsid w:val="001201EF"/>
    <w:rsid w:val="008C2D1F"/>
    <w:rsid w:val="00DA0B5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831D"/>
  <w15:chartTrackingRefBased/>
  <w15:docId w15:val="{C36A4A32-1870-4391-90B6-2EB98BC7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01EF"/>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120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20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201E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201E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201E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201E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201E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201E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201E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01E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201E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201E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201E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201E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201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201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201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201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1201E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01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201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201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01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201EF"/>
    <w:rPr>
      <w:i/>
      <w:iCs/>
      <w:color w:val="404040" w:themeColor="text1" w:themeTint="BF"/>
    </w:rPr>
  </w:style>
  <w:style w:type="paragraph" w:styleId="Paragrafoelenco">
    <w:name w:val="List Paragraph"/>
    <w:basedOn w:val="Normale"/>
    <w:uiPriority w:val="34"/>
    <w:qFormat/>
    <w:rsid w:val="001201EF"/>
    <w:pPr>
      <w:ind w:left="720"/>
      <w:contextualSpacing/>
    </w:pPr>
  </w:style>
  <w:style w:type="character" w:styleId="Enfasiintensa">
    <w:name w:val="Intense Emphasis"/>
    <w:basedOn w:val="Carpredefinitoparagrafo"/>
    <w:uiPriority w:val="21"/>
    <w:qFormat/>
    <w:rsid w:val="001201EF"/>
    <w:rPr>
      <w:i/>
      <w:iCs/>
      <w:color w:val="0F4761" w:themeColor="accent1" w:themeShade="BF"/>
    </w:rPr>
  </w:style>
  <w:style w:type="paragraph" w:styleId="Citazioneintensa">
    <w:name w:val="Intense Quote"/>
    <w:basedOn w:val="Normale"/>
    <w:next w:val="Normale"/>
    <w:link w:val="CitazioneintensaCarattere"/>
    <w:uiPriority w:val="30"/>
    <w:qFormat/>
    <w:rsid w:val="00120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201EF"/>
    <w:rPr>
      <w:i/>
      <w:iCs/>
      <w:color w:val="0F4761" w:themeColor="accent1" w:themeShade="BF"/>
    </w:rPr>
  </w:style>
  <w:style w:type="character" w:styleId="Riferimentointenso">
    <w:name w:val="Intense Reference"/>
    <w:basedOn w:val="Carpredefinitoparagrafo"/>
    <w:uiPriority w:val="32"/>
    <w:qFormat/>
    <w:rsid w:val="001201EF"/>
    <w:rPr>
      <w:b/>
      <w:bCs/>
      <w:smallCaps/>
      <w:color w:val="0F4761" w:themeColor="accent1" w:themeShade="BF"/>
      <w:spacing w:val="5"/>
    </w:rPr>
  </w:style>
  <w:style w:type="character" w:customStyle="1" w:styleId="NessunaspaziaturaCarattere">
    <w:name w:val="Nessuna spaziatura Carattere"/>
    <w:qFormat/>
    <w:rsid w:val="001201EF"/>
    <w:rPr>
      <w:rFonts w:ascii="Calibri" w:hAnsi="Calibri"/>
      <w:lang w:val="en-US" w:eastAsia="en-US" w:bidi="en-US"/>
    </w:rPr>
  </w:style>
  <w:style w:type="paragraph" w:styleId="Nessunaspaziatura">
    <w:name w:val="No Spacing"/>
    <w:uiPriority w:val="1"/>
    <w:qFormat/>
    <w:rsid w:val="001201EF"/>
    <w:pPr>
      <w:suppressAutoHyphens/>
      <w:spacing w:after="0"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Capalbo</dc:creator>
  <cp:keywords/>
  <dc:description/>
  <cp:lastModifiedBy>Angelo Capalbo</cp:lastModifiedBy>
  <cp:revision>2</cp:revision>
  <dcterms:created xsi:type="dcterms:W3CDTF">2024-03-03T19:21:00Z</dcterms:created>
  <dcterms:modified xsi:type="dcterms:W3CDTF">2024-03-03T19:21:00Z</dcterms:modified>
</cp:coreProperties>
</file>